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10CCE" w14:textId="5EF1C93E" w:rsidR="00440B92" w:rsidRPr="0058402E" w:rsidRDefault="00310E0C" w:rsidP="00440B92">
      <w:pPr>
        <w:spacing w:after="200" w:line="276" w:lineRule="auto"/>
        <w:rPr>
          <w:rFonts w:ascii="Arial" w:hAnsi="Arial" w:cs="Arial"/>
          <w:b/>
          <w:bCs/>
          <w:color w:val="E73742"/>
          <w:sz w:val="16"/>
          <w:szCs w:val="16"/>
        </w:rPr>
      </w:pPr>
      <w:bookmarkStart w:id="0" w:name="_Hlk489448889"/>
      <w:r w:rsidRPr="0058402E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93805" wp14:editId="31D711CE">
                <wp:simplePos x="0" y="0"/>
                <wp:positionH relativeFrom="column">
                  <wp:posOffset>-133350</wp:posOffset>
                </wp:positionH>
                <wp:positionV relativeFrom="paragraph">
                  <wp:posOffset>-497840</wp:posOffset>
                </wp:positionV>
                <wp:extent cx="4552950" cy="36195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3619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4B2E44E" w14:textId="77777777" w:rsidR="003A3C87" w:rsidRDefault="003A3C87" w:rsidP="003A3C87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eastAsia="pt-PT"/>
                              </w:rPr>
                              <w:t>Fichas de trabalho globais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eastAsia="pt-PT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6"/>
                                <w:szCs w:val="26"/>
                                <w:lang w:eastAsia="pt-PT"/>
                              </w:rPr>
                              <w:t>(a partir de textos do manual)</w:t>
                            </w:r>
                          </w:p>
                          <w:p w14:paraId="1A7C19B6" w14:textId="7EB018C3" w:rsidR="007C01F0" w:rsidRDefault="007C01F0" w:rsidP="00440B9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93805" id="Rectangle 6" o:spid="_x0000_s1026" style="position:absolute;margin-left:-10.5pt;margin-top:-39.2pt;width:358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" fillcolor="#ed7d31 [3205]" stroked="f">
                <v:textbox>
                  <w:txbxContent>
                    <w:p w14:paraId="44B2E44E" w14:textId="77777777" w:rsidR="003A3C87" w:rsidRDefault="003A3C87" w:rsidP="003A3C87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eastAsia="pt-PT"/>
                        </w:rPr>
                        <w:t>Fichas de trabalho globais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eastAsia="pt-PT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6"/>
                          <w:szCs w:val="26"/>
                          <w:lang w:eastAsia="pt-PT"/>
                        </w:rPr>
                        <w:t>(a partir de textos do manual)</w:t>
                      </w:r>
                    </w:p>
                    <w:p w14:paraId="1A7C19B6" w14:textId="7EB018C3" w:rsidR="007C01F0" w:rsidRDefault="007C01F0" w:rsidP="00440B9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0B92" w:rsidRPr="0058402E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B689CE" wp14:editId="0BEE2ADD">
                <wp:simplePos x="0" y="0"/>
                <wp:positionH relativeFrom="page">
                  <wp:posOffset>0</wp:posOffset>
                </wp:positionH>
                <wp:positionV relativeFrom="paragraph">
                  <wp:posOffset>-751205</wp:posOffset>
                </wp:positionV>
                <wp:extent cx="10703560" cy="605790"/>
                <wp:effectExtent l="0" t="0" r="2540" b="381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03560" cy="60579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71A021" w14:textId="77777777" w:rsidR="007C01F0" w:rsidRDefault="007C01F0" w:rsidP="00440B92">
                            <w:pPr>
                              <w:spacing w:after="0"/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</w:pPr>
                          </w:p>
                          <w:p w14:paraId="6A18F737" w14:textId="77777777" w:rsidR="007C01F0" w:rsidRDefault="007C01F0" w:rsidP="00440B92">
                            <w:pPr>
                              <w:spacing w:after="0"/>
                              <w:ind w:left="1134"/>
                              <w:rPr>
                                <w:sz w:val="20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89CE" id="Rectangle 5" o:spid="_x0000_s1027" style="position:absolute;margin-left:0;margin-top:-59.15pt;width:842.8pt;height:47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" fillcolor="#f4b083 [1941]" stroked="f">
                <v:textbox>
                  <w:txbxContent>
                    <w:p w14:paraId="6871A021" w14:textId="77777777" w:rsidR="007C01F0" w:rsidRDefault="007C01F0" w:rsidP="00440B92">
                      <w:pPr>
                        <w:spacing w:after="0"/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</w:pPr>
                    </w:p>
                    <w:p w14:paraId="6A18F737" w14:textId="77777777" w:rsidR="007C01F0" w:rsidRDefault="007C01F0" w:rsidP="00440B92">
                      <w:pPr>
                        <w:spacing w:after="0"/>
                        <w:ind w:left="1134"/>
                        <w:rPr>
                          <w:sz w:val="20"/>
                          <w:szCs w:val="5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bookmarkEnd w:id="0"/>
    <w:p w14:paraId="70E53172" w14:textId="77777777" w:rsidR="00FE0E60" w:rsidRPr="00440B92" w:rsidRDefault="00440B92" w:rsidP="00EC627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EC602B"/>
          <w:sz w:val="20"/>
          <w:szCs w:val="20"/>
        </w:rPr>
      </w:pPr>
      <w:r>
        <w:rPr>
          <w:rFonts w:ascii="Arial" w:hAnsi="Arial" w:cs="Arial"/>
          <w:b/>
          <w:bCs/>
          <w:color w:val="EC602B"/>
          <w:sz w:val="34"/>
          <w:szCs w:val="34"/>
        </w:rPr>
        <w:t xml:space="preserve">“O conto português” </w:t>
      </w:r>
      <w:r>
        <w:rPr>
          <w:rFonts w:ascii="Arial" w:hAnsi="Arial" w:cs="Arial"/>
          <w:b/>
          <w:bCs/>
          <w:color w:val="EC602B"/>
          <w:sz w:val="34"/>
          <w:szCs w:val="34"/>
        </w:rPr>
        <w:tab/>
      </w:r>
      <w:r>
        <w:rPr>
          <w:rFonts w:ascii="Arial" w:hAnsi="Arial" w:cs="Arial"/>
          <w:b/>
          <w:bCs/>
          <w:color w:val="EC602B"/>
          <w:sz w:val="34"/>
          <w:szCs w:val="34"/>
        </w:rPr>
        <w:tab/>
      </w:r>
      <w:r>
        <w:rPr>
          <w:rFonts w:ascii="Arial" w:hAnsi="Arial" w:cs="Arial"/>
          <w:b/>
          <w:bCs/>
          <w:color w:val="EC602B"/>
          <w:sz w:val="34"/>
          <w:szCs w:val="34"/>
        </w:rPr>
        <w:tab/>
      </w:r>
      <w:r>
        <w:rPr>
          <w:rFonts w:ascii="Arial" w:hAnsi="Arial" w:cs="Arial"/>
          <w:b/>
          <w:bCs/>
          <w:color w:val="EC602B"/>
          <w:sz w:val="34"/>
          <w:szCs w:val="34"/>
        </w:rPr>
        <w:tab/>
      </w:r>
      <w:bookmarkStart w:id="1" w:name="_GoBack"/>
      <w:bookmarkEnd w:id="1"/>
      <w:r>
        <w:rPr>
          <w:rFonts w:ascii="Arial" w:hAnsi="Arial" w:cs="Arial"/>
          <w:b/>
          <w:bCs/>
          <w:color w:val="EC602B"/>
          <w:sz w:val="34"/>
          <w:szCs w:val="34"/>
        </w:rPr>
        <w:tab/>
      </w:r>
      <w:r>
        <w:rPr>
          <w:rFonts w:ascii="Arial" w:hAnsi="Arial" w:cs="Arial"/>
          <w:b/>
          <w:bCs/>
          <w:color w:val="EC602B"/>
          <w:sz w:val="34"/>
          <w:szCs w:val="34"/>
        </w:rPr>
        <w:tab/>
      </w:r>
      <w:bookmarkStart w:id="2" w:name="_Hlk489448902"/>
      <w:r w:rsidRPr="00440B92">
        <w:rPr>
          <w:rFonts w:ascii="Arial" w:hAnsi="Arial" w:cs="Arial"/>
          <w:b/>
          <w:bCs/>
          <w:color w:val="EC602B"/>
          <w:sz w:val="20"/>
          <w:szCs w:val="20"/>
        </w:rPr>
        <w:t>Manual,</w:t>
      </w:r>
      <w:r>
        <w:rPr>
          <w:rFonts w:ascii="Arial" w:hAnsi="Arial" w:cs="Arial"/>
          <w:b/>
          <w:bCs/>
          <w:color w:val="EC602B"/>
          <w:sz w:val="20"/>
          <w:szCs w:val="20"/>
        </w:rPr>
        <w:t xml:space="preserve"> </w:t>
      </w:r>
      <w:r w:rsidR="00515822" w:rsidRPr="00440B92">
        <w:rPr>
          <w:rFonts w:ascii="Arial" w:hAnsi="Arial" w:cs="Arial"/>
          <w:b/>
          <w:bCs/>
          <w:color w:val="ED7D31" w:themeColor="accent2"/>
          <w:sz w:val="20"/>
          <w:szCs w:val="20"/>
        </w:rPr>
        <w:t>p. 143</w:t>
      </w:r>
      <w:bookmarkEnd w:id="2"/>
    </w:p>
    <w:p w14:paraId="23A6D0EF" w14:textId="77777777" w:rsidR="00515822" w:rsidRPr="0058402E" w:rsidRDefault="00515822" w:rsidP="00A95C58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</w:rPr>
      </w:pPr>
      <w:r w:rsidRPr="0058402E">
        <w:rPr>
          <w:rFonts w:ascii="Arial" w:hAnsi="Arial" w:cs="Arial"/>
          <w:color w:val="232322"/>
        </w:rPr>
        <w:t>Lê atentamente o texto “O conto português”, presente na página 143 do manual.</w:t>
      </w:r>
    </w:p>
    <w:p w14:paraId="51AA37AA" w14:textId="77777777" w:rsidR="00515822" w:rsidRPr="0058402E" w:rsidRDefault="00515822" w:rsidP="0051582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</w:rPr>
      </w:pPr>
      <w:r w:rsidRPr="0058402E">
        <w:rPr>
          <w:rFonts w:ascii="Arial" w:hAnsi="Arial" w:cs="Arial"/>
          <w:color w:val="232322"/>
        </w:rPr>
        <w:t>Responde aos itens apresentados.</w:t>
      </w:r>
    </w:p>
    <w:p w14:paraId="0A26629B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1. </w:t>
      </w:r>
      <w:r w:rsidRPr="00515822">
        <w:rPr>
          <w:rFonts w:ascii="Arial" w:hAnsi="Arial" w:cs="Arial"/>
          <w:color w:val="232322"/>
          <w:sz w:val="21"/>
          <w:szCs w:val="21"/>
        </w:rPr>
        <w:t>A primeira frase do texto apresenta um valor modal de</w:t>
      </w:r>
    </w:p>
    <w:p w14:paraId="7DA192B8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EC6279">
          <w:headerReference w:type="default" r:id="rId7"/>
          <w:footerReference w:type="default" r:id="rId8"/>
          <w:type w:val="continuous"/>
          <w:pgSz w:w="11906" w:h="16838"/>
          <w:pgMar w:top="567" w:right="566" w:bottom="993" w:left="1560" w:header="0" w:footer="708" w:gutter="0"/>
          <w:cols w:space="141"/>
          <w:docGrid w:linePitch="360"/>
        </w:sectPr>
      </w:pPr>
    </w:p>
    <w:p w14:paraId="3A86A8CF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(A)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certeza.</w:t>
      </w:r>
    </w:p>
    <w:p w14:paraId="5B06F2BA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(B)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permissão.</w:t>
      </w:r>
    </w:p>
    <w:p w14:paraId="349AA821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(C)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obrigação.</w:t>
      </w:r>
    </w:p>
    <w:p w14:paraId="2C30DCAC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(D)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probabilidade.</w:t>
      </w:r>
    </w:p>
    <w:p w14:paraId="698E6E6D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515822">
          <w:type w:val="continuous"/>
          <w:pgSz w:w="11906" w:h="16838"/>
          <w:pgMar w:top="567" w:right="566" w:bottom="993" w:left="1560" w:header="0" w:footer="708" w:gutter="0"/>
          <w:cols w:num="2" w:space="141"/>
          <w:docGrid w:linePitch="360"/>
        </w:sectPr>
      </w:pPr>
    </w:p>
    <w:p w14:paraId="182F316E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2.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A oração subordinada introduzida por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>“que”</w:t>
      </w:r>
      <w:r w:rsidRPr="00515822">
        <w:rPr>
          <w:rFonts w:ascii="Arial" w:hAnsi="Arial" w:cs="Arial"/>
          <w:color w:val="232322"/>
          <w:sz w:val="21"/>
          <w:szCs w:val="21"/>
        </w:rPr>
        <w:t>, na linha 1, desempenha a função sintática de</w:t>
      </w:r>
    </w:p>
    <w:p w14:paraId="6587F6AA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EC6279">
          <w:type w:val="continuous"/>
          <w:pgSz w:w="11906" w:h="16838"/>
          <w:pgMar w:top="567" w:right="566" w:bottom="993" w:left="1560" w:header="0" w:footer="708" w:gutter="0"/>
          <w:cols w:space="141"/>
          <w:docGrid w:linePitch="360"/>
        </w:sectPr>
      </w:pPr>
    </w:p>
    <w:p w14:paraId="2C0ED052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(A)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sujeito.</w:t>
      </w:r>
    </w:p>
    <w:p w14:paraId="4F5A973B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(B)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predicativo do sujeito.</w:t>
      </w:r>
    </w:p>
    <w:p w14:paraId="61688A2C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(C)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complemento direto.</w:t>
      </w:r>
    </w:p>
    <w:p w14:paraId="0289AEBA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(D)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modificador restritivo do nome.</w:t>
      </w:r>
    </w:p>
    <w:p w14:paraId="7700C8E5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515822">
          <w:type w:val="continuous"/>
          <w:pgSz w:w="11906" w:h="16838"/>
          <w:pgMar w:top="567" w:right="566" w:bottom="993" w:left="1560" w:header="0" w:footer="708" w:gutter="0"/>
          <w:cols w:num="2" w:space="141"/>
          <w:docGrid w:linePitch="360"/>
        </w:sectPr>
      </w:pPr>
    </w:p>
    <w:p w14:paraId="7427E34A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3. </w:t>
      </w:r>
      <w:r w:rsidRPr="00515822">
        <w:rPr>
          <w:rFonts w:ascii="Arial" w:hAnsi="Arial" w:cs="Arial"/>
          <w:color w:val="232322"/>
          <w:sz w:val="21"/>
          <w:szCs w:val="21"/>
        </w:rPr>
        <w:t>A utilização de dois pontos na linha 6 e na linha 18 serve para introduzir, respetivamente,</w:t>
      </w:r>
    </w:p>
    <w:p w14:paraId="39478698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EC6279">
          <w:type w:val="continuous"/>
          <w:pgSz w:w="11906" w:h="16838"/>
          <w:pgMar w:top="567" w:right="566" w:bottom="993" w:left="1560" w:header="0" w:footer="708" w:gutter="0"/>
          <w:cols w:space="141"/>
          <w:docGrid w:linePitch="360"/>
        </w:sectPr>
      </w:pPr>
    </w:p>
    <w:p w14:paraId="080340AD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(A)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enumeração e uma explicação.</w:t>
      </w:r>
    </w:p>
    <w:p w14:paraId="7FD4DCF3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(B)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enumeração e uma citação.</w:t>
      </w:r>
    </w:p>
    <w:p w14:paraId="242D47A5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(C)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explicação e uma enumeração.</w:t>
      </w:r>
    </w:p>
    <w:p w14:paraId="78225809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(D)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explicação e uma citação.</w:t>
      </w:r>
    </w:p>
    <w:p w14:paraId="58983BF7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515822">
          <w:type w:val="continuous"/>
          <w:pgSz w:w="11906" w:h="16838"/>
          <w:pgMar w:top="567" w:right="566" w:bottom="993" w:left="1560" w:header="0" w:footer="708" w:gutter="0"/>
          <w:cols w:num="2" w:space="141"/>
          <w:docGrid w:linePitch="360"/>
        </w:sectPr>
      </w:pPr>
    </w:p>
    <w:p w14:paraId="634165BE" w14:textId="77777777" w:rsidR="00515822" w:rsidRPr="00515822" w:rsidRDefault="00515822" w:rsidP="00B66D12">
      <w:pPr>
        <w:autoSpaceDE w:val="0"/>
        <w:autoSpaceDN w:val="0"/>
        <w:adjustRightInd w:val="0"/>
        <w:spacing w:before="140" w:after="0" w:line="276" w:lineRule="auto"/>
        <w:ind w:right="424"/>
        <w:jc w:val="both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4.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O recurso às expressões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“Concomitância de temas, motivos, ambientes e modelos” </w:t>
      </w:r>
      <w:r w:rsidRPr="00515822">
        <w:rPr>
          <w:rFonts w:ascii="Arial" w:hAnsi="Arial" w:cs="Arial"/>
          <w:color w:val="232322"/>
          <w:sz w:val="16"/>
          <w:szCs w:val="16"/>
        </w:rPr>
        <w:t xml:space="preserve">(l. 7) </w:t>
      </w:r>
      <w:r w:rsidRPr="00515822">
        <w:rPr>
          <w:rFonts w:ascii="Arial" w:hAnsi="Arial" w:cs="Arial"/>
          <w:color w:val="232322"/>
          <w:sz w:val="21"/>
          <w:szCs w:val="21"/>
        </w:rPr>
        <w:t>e</w:t>
      </w:r>
      <w:r>
        <w:rPr>
          <w:rFonts w:ascii="Arial" w:hAnsi="Arial" w:cs="Arial"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“dinâmica de diversidade” </w:t>
      </w:r>
      <w:r w:rsidRPr="00515822">
        <w:rPr>
          <w:rFonts w:ascii="Arial" w:hAnsi="Arial" w:cs="Arial"/>
          <w:color w:val="232322"/>
          <w:sz w:val="16"/>
          <w:szCs w:val="16"/>
        </w:rPr>
        <w:t xml:space="preserve">(l. 10) </w:t>
      </w:r>
      <w:r w:rsidRPr="00515822">
        <w:rPr>
          <w:rFonts w:ascii="Arial" w:hAnsi="Arial" w:cs="Arial"/>
          <w:color w:val="232322"/>
          <w:sz w:val="21"/>
          <w:szCs w:val="21"/>
        </w:rPr>
        <w:t>evidencia, no que concerne à coerência do texto, o respeito</w:t>
      </w:r>
      <w:r>
        <w:rPr>
          <w:rFonts w:ascii="Arial" w:hAnsi="Arial" w:cs="Arial"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pelo princípio.</w:t>
      </w:r>
    </w:p>
    <w:p w14:paraId="5EE92341" w14:textId="77777777" w:rsidR="00515822" w:rsidRDefault="00515822" w:rsidP="00B66D12">
      <w:pPr>
        <w:autoSpaceDE w:val="0"/>
        <w:autoSpaceDN w:val="0"/>
        <w:adjustRightInd w:val="0"/>
        <w:spacing w:before="140" w:after="0" w:line="276" w:lineRule="auto"/>
        <w:ind w:right="424"/>
        <w:jc w:val="both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EC6279">
          <w:type w:val="continuous"/>
          <w:pgSz w:w="11906" w:h="16838"/>
          <w:pgMar w:top="567" w:right="566" w:bottom="993" w:left="1560" w:header="0" w:footer="708" w:gutter="0"/>
          <w:cols w:space="141"/>
          <w:docGrid w:linePitch="360"/>
        </w:sectPr>
      </w:pPr>
    </w:p>
    <w:p w14:paraId="30FA70C5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(A)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da não contradição.</w:t>
      </w:r>
    </w:p>
    <w:p w14:paraId="12C50E96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(B)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da não tautologia.</w:t>
      </w:r>
    </w:p>
    <w:p w14:paraId="2CCD3BE1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(C)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da relevância</w:t>
      </w:r>
    </w:p>
    <w:p w14:paraId="587EE0BB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(D)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de cooperação.</w:t>
      </w:r>
    </w:p>
    <w:p w14:paraId="16805667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515822">
          <w:type w:val="continuous"/>
          <w:pgSz w:w="11906" w:h="16838"/>
          <w:pgMar w:top="567" w:right="566" w:bottom="993" w:left="1560" w:header="0" w:footer="708" w:gutter="0"/>
          <w:cols w:num="2" w:space="141"/>
          <w:docGrid w:linePitch="360"/>
        </w:sectPr>
      </w:pPr>
    </w:p>
    <w:p w14:paraId="547F798B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5.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O antecedente do pronome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“lhe” </w:t>
      </w:r>
      <w:r w:rsidRPr="00515822">
        <w:rPr>
          <w:rFonts w:ascii="Arial" w:hAnsi="Arial" w:cs="Arial"/>
          <w:color w:val="232322"/>
          <w:sz w:val="16"/>
          <w:szCs w:val="16"/>
        </w:rPr>
        <w:t xml:space="preserve">(l. 11) </w:t>
      </w:r>
      <w:r w:rsidRPr="00515822">
        <w:rPr>
          <w:rFonts w:ascii="Arial" w:hAnsi="Arial" w:cs="Arial"/>
          <w:color w:val="232322"/>
          <w:sz w:val="21"/>
          <w:szCs w:val="21"/>
        </w:rPr>
        <w:t>é</w:t>
      </w:r>
    </w:p>
    <w:p w14:paraId="3966B851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(A)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 “uma visão portuguesa do mundo, de nós mesmos, do nosso tempo” </w:t>
      </w:r>
      <w:r w:rsidRPr="00515822">
        <w:rPr>
          <w:rFonts w:ascii="Arial" w:hAnsi="Arial" w:cs="Arial"/>
          <w:color w:val="232322"/>
          <w:sz w:val="16"/>
          <w:szCs w:val="16"/>
        </w:rPr>
        <w:t>(</w:t>
      </w:r>
      <w:proofErr w:type="spellStart"/>
      <w:r w:rsidRPr="00515822">
        <w:rPr>
          <w:rFonts w:ascii="Arial" w:hAnsi="Arial" w:cs="Arial"/>
          <w:color w:val="232322"/>
          <w:sz w:val="16"/>
          <w:szCs w:val="16"/>
        </w:rPr>
        <w:t>ll</w:t>
      </w:r>
      <w:proofErr w:type="spellEnd"/>
      <w:r w:rsidRPr="00515822">
        <w:rPr>
          <w:rFonts w:ascii="Arial" w:hAnsi="Arial" w:cs="Arial"/>
          <w:color w:val="232322"/>
          <w:sz w:val="16"/>
          <w:szCs w:val="16"/>
        </w:rPr>
        <w:t>. 8-9)</w:t>
      </w:r>
      <w:r w:rsidRPr="00515822">
        <w:rPr>
          <w:rFonts w:ascii="Arial" w:hAnsi="Arial" w:cs="Arial"/>
          <w:color w:val="232322"/>
          <w:sz w:val="21"/>
          <w:szCs w:val="21"/>
        </w:rPr>
        <w:t>.</w:t>
      </w:r>
    </w:p>
    <w:p w14:paraId="34B9C7B4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(B)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 “o conto português” </w:t>
      </w:r>
      <w:r w:rsidRPr="00515822">
        <w:rPr>
          <w:rFonts w:ascii="Arial" w:hAnsi="Arial" w:cs="Arial"/>
          <w:color w:val="232322"/>
          <w:sz w:val="16"/>
          <w:szCs w:val="16"/>
        </w:rPr>
        <w:t>(l. 10)</w:t>
      </w:r>
      <w:r w:rsidRPr="00515822">
        <w:rPr>
          <w:rFonts w:ascii="Arial" w:hAnsi="Arial" w:cs="Arial"/>
          <w:color w:val="232322"/>
          <w:sz w:val="21"/>
          <w:szCs w:val="21"/>
        </w:rPr>
        <w:t>.</w:t>
      </w:r>
    </w:p>
    <w:p w14:paraId="562F1AC8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(C)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 “[n]essa dinâmica de diversidade” </w:t>
      </w:r>
      <w:r w:rsidRPr="00515822">
        <w:rPr>
          <w:rFonts w:ascii="Arial" w:hAnsi="Arial" w:cs="Arial"/>
          <w:color w:val="232322"/>
          <w:sz w:val="16"/>
          <w:szCs w:val="16"/>
        </w:rPr>
        <w:t>(l. 10)</w:t>
      </w:r>
      <w:r w:rsidRPr="00515822">
        <w:rPr>
          <w:rFonts w:ascii="Arial" w:hAnsi="Arial" w:cs="Arial"/>
          <w:color w:val="232322"/>
          <w:sz w:val="21"/>
          <w:szCs w:val="21"/>
        </w:rPr>
        <w:t>.</w:t>
      </w:r>
    </w:p>
    <w:p w14:paraId="6823550D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(D)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 “uma possível universalidade literária” </w:t>
      </w:r>
      <w:r w:rsidRPr="00515822">
        <w:rPr>
          <w:rFonts w:ascii="Arial" w:hAnsi="Arial" w:cs="Arial"/>
          <w:color w:val="232322"/>
          <w:sz w:val="16"/>
          <w:szCs w:val="16"/>
        </w:rPr>
        <w:t>(l. 11)</w:t>
      </w:r>
      <w:r w:rsidRPr="00515822">
        <w:rPr>
          <w:rFonts w:ascii="Arial" w:hAnsi="Arial" w:cs="Arial"/>
          <w:color w:val="232322"/>
          <w:sz w:val="21"/>
          <w:szCs w:val="21"/>
        </w:rPr>
        <w:t>.</w:t>
      </w:r>
    </w:p>
    <w:p w14:paraId="2E82D13B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6.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Nas linhas 10 e 19, a conjunção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“como” </w:t>
      </w:r>
      <w:r w:rsidRPr="00515822">
        <w:rPr>
          <w:rFonts w:ascii="Arial" w:hAnsi="Arial" w:cs="Arial"/>
          <w:color w:val="232322"/>
          <w:sz w:val="21"/>
          <w:szCs w:val="21"/>
        </w:rPr>
        <w:t>introduz</w:t>
      </w:r>
    </w:p>
    <w:p w14:paraId="6BA1816C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(A)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orações subordinadas adverbiais consecutivas, em ambos os casos.</w:t>
      </w:r>
    </w:p>
    <w:p w14:paraId="2DEF06E5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(B)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orações subordinadas adverbiais comparativas, em ambos os casos.</w:t>
      </w:r>
    </w:p>
    <w:p w14:paraId="45E84001" w14:textId="77777777" w:rsidR="00515822" w:rsidRPr="00515822" w:rsidRDefault="00515822" w:rsidP="00B66D12">
      <w:pPr>
        <w:autoSpaceDE w:val="0"/>
        <w:autoSpaceDN w:val="0"/>
        <w:adjustRightInd w:val="0"/>
        <w:spacing w:before="140" w:after="0" w:line="276" w:lineRule="auto"/>
        <w:ind w:left="709" w:hanging="709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(C)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oração subordinada adverbial consecutiva e uma oração subordinada adverbial</w:t>
      </w:r>
      <w:r>
        <w:rPr>
          <w:rFonts w:ascii="Arial" w:hAnsi="Arial" w:cs="Arial"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comparativa, respetivamente.</w:t>
      </w:r>
    </w:p>
    <w:p w14:paraId="79EC44C5" w14:textId="77777777" w:rsidR="00515822" w:rsidRPr="00515822" w:rsidRDefault="00515822" w:rsidP="00B66D12">
      <w:pPr>
        <w:autoSpaceDE w:val="0"/>
        <w:autoSpaceDN w:val="0"/>
        <w:adjustRightInd w:val="0"/>
        <w:spacing w:before="140" w:after="0" w:line="276" w:lineRule="auto"/>
        <w:ind w:left="709" w:hanging="709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(D)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oração subordinada adverbial comparativa e uma oração subordinada adverbial</w:t>
      </w:r>
      <w:r>
        <w:rPr>
          <w:rFonts w:ascii="Arial" w:hAnsi="Arial" w:cs="Arial"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consecutiva, respetivamente.</w:t>
      </w:r>
    </w:p>
    <w:p w14:paraId="781734AC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7.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A frase iniciada por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 xml:space="preserve">“Porém” </w:t>
      </w:r>
      <w:r w:rsidRPr="00515822">
        <w:rPr>
          <w:rFonts w:ascii="Arial" w:hAnsi="Arial" w:cs="Arial"/>
          <w:color w:val="232322"/>
          <w:sz w:val="16"/>
          <w:szCs w:val="16"/>
        </w:rPr>
        <w:t>(l. 20)</w:t>
      </w:r>
      <w:r w:rsidRPr="00515822">
        <w:rPr>
          <w:rFonts w:ascii="Arial" w:hAnsi="Arial" w:cs="Arial"/>
          <w:color w:val="232322"/>
          <w:sz w:val="21"/>
          <w:szCs w:val="21"/>
        </w:rPr>
        <w:t>, relativamente às anteriores, introduz</w:t>
      </w:r>
    </w:p>
    <w:p w14:paraId="2D4C951C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EC6279">
          <w:type w:val="continuous"/>
          <w:pgSz w:w="11906" w:h="16838"/>
          <w:pgMar w:top="567" w:right="566" w:bottom="993" w:left="1560" w:header="0" w:footer="708" w:gutter="0"/>
          <w:cols w:space="141"/>
          <w:docGrid w:linePitch="360"/>
        </w:sectPr>
      </w:pPr>
    </w:p>
    <w:p w14:paraId="6E0118ED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(A)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 argumento.</w:t>
      </w:r>
    </w:p>
    <w:p w14:paraId="3B26406C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(B)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confirmação.</w:t>
      </w:r>
    </w:p>
    <w:p w14:paraId="458240AE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(C)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uma ideia contrária.</w:t>
      </w:r>
    </w:p>
    <w:p w14:paraId="30F83E0F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(D) </w:t>
      </w:r>
      <w:r w:rsidRPr="00FE0E60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 </w:t>
      </w:r>
      <w:r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 w:rsidRPr="00FE0E60">
        <w:rPr>
          <w:rFonts w:ascii="Arial" w:hAnsi="Arial" w:cs="Arial"/>
          <w:b/>
          <w:bCs/>
          <w:color w:val="232322"/>
          <w:sz w:val="21"/>
          <w:szCs w:val="21"/>
          <w:bdr w:val="single" w:sz="4" w:space="0" w:color="ED7D31" w:themeColor="accent2"/>
          <w:shd w:val="clear" w:color="auto" w:fill="FBE4D5" w:themeFill="accent2" w:themeFillTint="33"/>
        </w:rPr>
        <w:t xml:space="preserve"> 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um exemplo.</w:t>
      </w:r>
    </w:p>
    <w:p w14:paraId="3E71A00A" w14:textId="77777777" w:rsid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15822" w:rsidSect="00515822">
          <w:type w:val="continuous"/>
          <w:pgSz w:w="11906" w:h="16838"/>
          <w:pgMar w:top="567" w:right="566" w:bottom="993" w:left="1560" w:header="0" w:footer="708" w:gutter="0"/>
          <w:cols w:num="2" w:space="141"/>
          <w:docGrid w:linePitch="360"/>
        </w:sectPr>
      </w:pPr>
    </w:p>
    <w:p w14:paraId="28156A43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8.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Classifica a oração introduzida por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>“que”</w:t>
      </w:r>
      <w:r w:rsidRPr="00515822">
        <w:rPr>
          <w:rFonts w:ascii="Arial" w:hAnsi="Arial" w:cs="Arial"/>
          <w:color w:val="232322"/>
          <w:sz w:val="21"/>
          <w:szCs w:val="21"/>
        </w:rPr>
        <w:t>, na linha 7.</w:t>
      </w:r>
    </w:p>
    <w:p w14:paraId="589A62E1" w14:textId="77777777" w:rsidR="00515822" w:rsidRPr="00515822" w:rsidRDefault="00515822" w:rsidP="00FD2DF4">
      <w:pPr>
        <w:autoSpaceDE w:val="0"/>
        <w:autoSpaceDN w:val="0"/>
        <w:adjustRightInd w:val="0"/>
        <w:spacing w:before="140"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9.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Refere a função sintática desempenhada pela oração subordinada iniciada por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>“que”</w:t>
      </w:r>
      <w:r w:rsidRPr="00515822">
        <w:rPr>
          <w:rFonts w:ascii="Arial" w:hAnsi="Arial" w:cs="Arial"/>
          <w:color w:val="232322"/>
          <w:sz w:val="21"/>
          <w:szCs w:val="21"/>
        </w:rPr>
        <w:t>, na</w:t>
      </w:r>
      <w:r>
        <w:rPr>
          <w:rFonts w:ascii="Arial" w:hAnsi="Arial" w:cs="Arial"/>
          <w:color w:val="232322"/>
          <w:sz w:val="21"/>
          <w:szCs w:val="21"/>
        </w:rPr>
        <w:t xml:space="preserve"> </w:t>
      </w:r>
      <w:r w:rsidRPr="00515822">
        <w:rPr>
          <w:rFonts w:ascii="Arial" w:hAnsi="Arial" w:cs="Arial"/>
          <w:color w:val="232322"/>
          <w:sz w:val="21"/>
          <w:szCs w:val="21"/>
        </w:rPr>
        <w:t>linha 9.</w:t>
      </w:r>
    </w:p>
    <w:p w14:paraId="35D04A13" w14:textId="77777777" w:rsidR="00515822" w:rsidRPr="00515822" w:rsidRDefault="00515822" w:rsidP="007850D7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232322"/>
          <w:sz w:val="21"/>
          <w:szCs w:val="21"/>
        </w:rPr>
      </w:pPr>
      <w:r w:rsidRPr="00515822">
        <w:rPr>
          <w:rFonts w:ascii="Arial" w:hAnsi="Arial" w:cs="Arial"/>
          <w:b/>
          <w:bCs/>
          <w:color w:val="232322"/>
          <w:sz w:val="21"/>
          <w:szCs w:val="21"/>
        </w:rPr>
        <w:t xml:space="preserve">10. </w:t>
      </w:r>
      <w:r w:rsidRPr="00515822">
        <w:rPr>
          <w:rFonts w:ascii="Arial" w:hAnsi="Arial" w:cs="Arial"/>
          <w:color w:val="232322"/>
          <w:sz w:val="21"/>
          <w:szCs w:val="21"/>
        </w:rPr>
        <w:t xml:space="preserve">Refere o valor aspetual da frase </w:t>
      </w:r>
      <w:r w:rsidRPr="00515822">
        <w:rPr>
          <w:rFonts w:ascii="Arial" w:hAnsi="Arial" w:cs="Arial"/>
          <w:i/>
          <w:iCs/>
          <w:color w:val="232322"/>
          <w:sz w:val="21"/>
          <w:szCs w:val="21"/>
        </w:rPr>
        <w:t>“uma poética de contar”</w:t>
      </w:r>
      <w:r w:rsidRPr="00515822">
        <w:rPr>
          <w:rFonts w:ascii="Arial" w:hAnsi="Arial" w:cs="Arial"/>
          <w:color w:val="232322"/>
          <w:sz w:val="21"/>
          <w:szCs w:val="21"/>
        </w:rPr>
        <w:t>, na linha 24 do texto.</w:t>
      </w:r>
    </w:p>
    <w:sectPr w:rsidR="00515822" w:rsidRPr="00515822" w:rsidSect="007850D7">
      <w:type w:val="continuous"/>
      <w:pgSz w:w="11906" w:h="16838"/>
      <w:pgMar w:top="567" w:right="566" w:bottom="993" w:left="1560" w:header="0" w:footer="708" w:gutter="0"/>
      <w:cols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074BE" w14:textId="77777777" w:rsidR="007C01F0" w:rsidRDefault="007C01F0" w:rsidP="006678E5">
      <w:pPr>
        <w:spacing w:after="0" w:line="240" w:lineRule="auto"/>
      </w:pPr>
      <w:r>
        <w:separator/>
      </w:r>
    </w:p>
  </w:endnote>
  <w:endnote w:type="continuationSeparator" w:id="0">
    <w:p w14:paraId="7C1A169A" w14:textId="77777777" w:rsidR="007C01F0" w:rsidRDefault="007C01F0" w:rsidP="0066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ionPro-Regular">
    <w:altName w:val="Yu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88CB" w14:textId="77777777" w:rsidR="007C01F0" w:rsidRPr="0058402E" w:rsidRDefault="007C01F0" w:rsidP="00AD51BF">
    <w:pPr>
      <w:pStyle w:val="Footer"/>
      <w:rPr>
        <w:sz w:val="18"/>
        <w:szCs w:val="18"/>
      </w:rPr>
    </w:pPr>
    <w:r w:rsidRPr="0058402E">
      <w:rPr>
        <w:rFonts w:cs="MinionPro-Regular"/>
        <w:color w:val="232322"/>
        <w:sz w:val="18"/>
        <w:szCs w:val="18"/>
      </w:rPr>
      <w:t xml:space="preserve">OEXP12 DP </w:t>
    </w:r>
    <w:r>
      <w:rPr>
        <w:rFonts w:cs="MinionPro-Regular"/>
        <w:color w:val="232322"/>
        <w:sz w:val="18"/>
        <w:szCs w:val="18"/>
      </w:rPr>
      <w:t>©</w:t>
    </w:r>
    <w:r w:rsidRPr="0058402E">
      <w:rPr>
        <w:rFonts w:cs="MinionPro-Regular"/>
        <w:color w:val="232322"/>
        <w:sz w:val="18"/>
        <w:szCs w:val="18"/>
      </w:rPr>
      <w:t>Porto Editora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43BD0" w14:textId="77777777" w:rsidR="007C01F0" w:rsidRDefault="007C01F0" w:rsidP="006678E5">
      <w:pPr>
        <w:spacing w:after="0" w:line="240" w:lineRule="auto"/>
      </w:pPr>
      <w:r>
        <w:separator/>
      </w:r>
    </w:p>
  </w:footnote>
  <w:footnote w:type="continuationSeparator" w:id="0">
    <w:p w14:paraId="58B46831" w14:textId="77777777" w:rsidR="007C01F0" w:rsidRDefault="007C01F0" w:rsidP="0066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04CC6" w14:textId="77777777" w:rsidR="007C01F0" w:rsidRDefault="007C01F0">
    <w:pPr>
      <w:pStyle w:val="Header"/>
    </w:pPr>
  </w:p>
  <w:p w14:paraId="13BE35ED" w14:textId="77777777" w:rsidR="007C01F0" w:rsidRDefault="007C01F0">
    <w:pPr>
      <w:pStyle w:val="Header"/>
    </w:pPr>
  </w:p>
  <w:p w14:paraId="03279174" w14:textId="77777777" w:rsidR="007C01F0" w:rsidRDefault="007C01F0">
    <w:pPr>
      <w:pStyle w:val="Header"/>
    </w:pPr>
  </w:p>
  <w:p w14:paraId="2003C624" w14:textId="77777777" w:rsidR="007C01F0" w:rsidRPr="00FE0E60" w:rsidRDefault="007C01F0" w:rsidP="00FE0E60">
    <w:pPr>
      <w:spacing w:line="276" w:lineRule="auto"/>
      <w:jc w:val="right"/>
      <w:rPr>
        <w:rFonts w:ascii="Arial" w:hAnsi="Arial" w:cs="Arial"/>
        <w:b/>
        <w:bCs/>
        <w:color w:val="EC602B"/>
        <w:sz w:val="18"/>
        <w:szCs w:val="18"/>
      </w:rPr>
    </w:pPr>
    <w:r w:rsidRPr="00FE0E60">
      <w:rPr>
        <w:rFonts w:ascii="Arial" w:hAnsi="Arial" w:cs="Arial"/>
        <w:b/>
        <w:bCs/>
        <w:color w:val="EC602B"/>
        <w:sz w:val="18"/>
        <w:szCs w:val="18"/>
      </w:rPr>
      <w:t>Fichas de trabalho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A7FCC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" w15:restartNumberingAfterBreak="0">
    <w:nsid w:val="3D61603E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 w15:restartNumberingAfterBreak="0">
    <w:nsid w:val="55142155"/>
    <w:multiLevelType w:val="hybridMultilevel"/>
    <w:tmpl w:val="6ECC1690"/>
    <w:lvl w:ilvl="0" w:tplc="EF763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sz w:val="19"/>
        <w:szCs w:val="19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44"/>
    <w:rsid w:val="0002668E"/>
    <w:rsid w:val="0003077F"/>
    <w:rsid w:val="0007736D"/>
    <w:rsid w:val="00091004"/>
    <w:rsid w:val="000B5ABF"/>
    <w:rsid w:val="000E4E9F"/>
    <w:rsid w:val="00180A27"/>
    <w:rsid w:val="00182AC6"/>
    <w:rsid w:val="00185E68"/>
    <w:rsid w:val="001934DB"/>
    <w:rsid w:val="00196205"/>
    <w:rsid w:val="00197203"/>
    <w:rsid w:val="001A7A84"/>
    <w:rsid w:val="001B00D5"/>
    <w:rsid w:val="001B7B17"/>
    <w:rsid w:val="001C2430"/>
    <w:rsid w:val="001C5B8B"/>
    <w:rsid w:val="001C6425"/>
    <w:rsid w:val="001F244B"/>
    <w:rsid w:val="001F6DFA"/>
    <w:rsid w:val="002677FB"/>
    <w:rsid w:val="002855EF"/>
    <w:rsid w:val="002C747E"/>
    <w:rsid w:val="002D7BAA"/>
    <w:rsid w:val="00310E0C"/>
    <w:rsid w:val="00366C4F"/>
    <w:rsid w:val="003723A8"/>
    <w:rsid w:val="00393A5C"/>
    <w:rsid w:val="00397D62"/>
    <w:rsid w:val="003A3C87"/>
    <w:rsid w:val="003A70F5"/>
    <w:rsid w:val="003B452B"/>
    <w:rsid w:val="003E05A4"/>
    <w:rsid w:val="003F1BA4"/>
    <w:rsid w:val="004117F4"/>
    <w:rsid w:val="00440B92"/>
    <w:rsid w:val="00461144"/>
    <w:rsid w:val="00472078"/>
    <w:rsid w:val="00493AED"/>
    <w:rsid w:val="004B20E7"/>
    <w:rsid w:val="004B3F71"/>
    <w:rsid w:val="004C07C3"/>
    <w:rsid w:val="0050410C"/>
    <w:rsid w:val="00513E2E"/>
    <w:rsid w:val="00515822"/>
    <w:rsid w:val="00557D7D"/>
    <w:rsid w:val="005750F8"/>
    <w:rsid w:val="00577DE0"/>
    <w:rsid w:val="0058402E"/>
    <w:rsid w:val="005C5590"/>
    <w:rsid w:val="0060417B"/>
    <w:rsid w:val="00605DF7"/>
    <w:rsid w:val="006678E5"/>
    <w:rsid w:val="00687F15"/>
    <w:rsid w:val="006A1938"/>
    <w:rsid w:val="006A2CDF"/>
    <w:rsid w:val="006A4472"/>
    <w:rsid w:val="006E7D12"/>
    <w:rsid w:val="00723995"/>
    <w:rsid w:val="00731479"/>
    <w:rsid w:val="00736994"/>
    <w:rsid w:val="00745256"/>
    <w:rsid w:val="00773205"/>
    <w:rsid w:val="007850D7"/>
    <w:rsid w:val="00797625"/>
    <w:rsid w:val="007976F5"/>
    <w:rsid w:val="007A5E44"/>
    <w:rsid w:val="007C01F0"/>
    <w:rsid w:val="007C683F"/>
    <w:rsid w:val="007E3149"/>
    <w:rsid w:val="00807810"/>
    <w:rsid w:val="00831791"/>
    <w:rsid w:val="00866AF6"/>
    <w:rsid w:val="008C30DE"/>
    <w:rsid w:val="008E74AE"/>
    <w:rsid w:val="008F6B5F"/>
    <w:rsid w:val="00902D15"/>
    <w:rsid w:val="0092433A"/>
    <w:rsid w:val="00964A53"/>
    <w:rsid w:val="00973F98"/>
    <w:rsid w:val="00974B7B"/>
    <w:rsid w:val="00980714"/>
    <w:rsid w:val="00993C2B"/>
    <w:rsid w:val="009959B7"/>
    <w:rsid w:val="009969FD"/>
    <w:rsid w:val="009C6A66"/>
    <w:rsid w:val="009C7CC6"/>
    <w:rsid w:val="009E4C4B"/>
    <w:rsid w:val="00A174A8"/>
    <w:rsid w:val="00A229AA"/>
    <w:rsid w:val="00A37571"/>
    <w:rsid w:val="00A95C58"/>
    <w:rsid w:val="00AA6895"/>
    <w:rsid w:val="00AD51BF"/>
    <w:rsid w:val="00AE06E9"/>
    <w:rsid w:val="00B3266B"/>
    <w:rsid w:val="00B34752"/>
    <w:rsid w:val="00B66D12"/>
    <w:rsid w:val="00B73AF2"/>
    <w:rsid w:val="00BA1C1F"/>
    <w:rsid w:val="00BE0E50"/>
    <w:rsid w:val="00C05EA0"/>
    <w:rsid w:val="00C0769F"/>
    <w:rsid w:val="00C13BFF"/>
    <w:rsid w:val="00C43341"/>
    <w:rsid w:val="00C47ED6"/>
    <w:rsid w:val="00C56150"/>
    <w:rsid w:val="00C81AB3"/>
    <w:rsid w:val="00C84A13"/>
    <w:rsid w:val="00CA3061"/>
    <w:rsid w:val="00CC0917"/>
    <w:rsid w:val="00CE6797"/>
    <w:rsid w:val="00D150CF"/>
    <w:rsid w:val="00D4530A"/>
    <w:rsid w:val="00DB2A7D"/>
    <w:rsid w:val="00DB5959"/>
    <w:rsid w:val="00DC1414"/>
    <w:rsid w:val="00DC2DEA"/>
    <w:rsid w:val="00E0408D"/>
    <w:rsid w:val="00E12C6A"/>
    <w:rsid w:val="00E16E17"/>
    <w:rsid w:val="00E26CBC"/>
    <w:rsid w:val="00E577B0"/>
    <w:rsid w:val="00EC5CFB"/>
    <w:rsid w:val="00EC6279"/>
    <w:rsid w:val="00ED3D30"/>
    <w:rsid w:val="00EE2BA6"/>
    <w:rsid w:val="00F07C45"/>
    <w:rsid w:val="00F315C4"/>
    <w:rsid w:val="00F42BD6"/>
    <w:rsid w:val="00FC3A96"/>
    <w:rsid w:val="00FD0C39"/>
    <w:rsid w:val="00FD2DF4"/>
    <w:rsid w:val="00FD32CF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1546793"/>
  <w15:docId w15:val="{84B562CB-F2D8-4B1A-BF42-E39A62F2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3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8E5"/>
  </w:style>
  <w:style w:type="paragraph" w:styleId="Footer">
    <w:name w:val="footer"/>
    <w:basedOn w:val="Normal"/>
    <w:link w:val="Foot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8E5"/>
  </w:style>
  <w:style w:type="table" w:styleId="TableGrid">
    <w:name w:val="Table Grid"/>
    <w:basedOn w:val="TableNormal"/>
    <w:uiPriority w:val="39"/>
    <w:rsid w:val="0066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7D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399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9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350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Raquel Marques</cp:lastModifiedBy>
  <cp:revision>11</cp:revision>
  <cp:lastPrinted>2017-04-27T16:53:00Z</cp:lastPrinted>
  <dcterms:created xsi:type="dcterms:W3CDTF">2017-04-27T19:08:00Z</dcterms:created>
  <dcterms:modified xsi:type="dcterms:W3CDTF">2017-08-02T14:08:00Z</dcterms:modified>
</cp:coreProperties>
</file>